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основы обучения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основы обучения»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«Современные основы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основы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интереса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компоненты образовательной среды и их дидактические возможности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принципы и подходы к организации предметной среды  культурных особенностей региона программы истории историческое и культурное своеобразие конкретного региона, где осуществляется образовательная деятельность</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обосновывать и включать  разнообразные исторические и культурные объекты в образовательную среду и процесс обучения истории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возможности социокультурной среды региона в целях достижения результатов обучения истории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умениями по проектированию элементов  образовательной среды школьной истории на основе учета возможностей конкретного региона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«Современные основы обучения»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школы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(историческое образование)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ПК-4, ОПК-1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развитие</w:t>
            </w:r>
          </w:p>
          <w:p>
            <w:pPr>
              <w:jc w:val="left"/>
              <w:spacing w:after="0" w:line="240" w:lineRule="auto"/>
              <w:rPr>
                <w:sz w:val="24"/>
                <w:szCs w:val="24"/>
              </w:rPr>
            </w:pPr>
            <w:r>
              <w:rPr>
                <w:rFonts w:ascii="Times New Roman" w:hAnsi="Times New Roman" w:cs="Times New Roman"/>
                <w:color w:val="#000000"/>
                <w:sz w:val="24"/>
                <w:szCs w:val="24"/>
              </w:rPr>
              <w:t> приёмов учебной</w:t>
            </w:r>
          </w:p>
          <w:p>
            <w:pPr>
              <w:jc w:val="left"/>
              <w:spacing w:after="0" w:line="240" w:lineRule="auto"/>
              <w:rPr>
                <w:sz w:val="24"/>
                <w:szCs w:val="24"/>
              </w:rPr>
            </w:pPr>
            <w:r>
              <w:rPr>
                <w:rFonts w:ascii="Times New Roman" w:hAnsi="Times New Roman" w:cs="Times New Roman"/>
                <w:color w:val="#000000"/>
                <w:sz w:val="24"/>
                <w:szCs w:val="24"/>
              </w:rPr>
              <w:t> деятельности в процессе</w:t>
            </w:r>
          </w:p>
          <w:p>
            <w:pPr>
              <w:jc w:val="left"/>
              <w:spacing w:after="0" w:line="240" w:lineRule="auto"/>
              <w:rPr>
                <w:sz w:val="24"/>
                <w:szCs w:val="24"/>
              </w:rPr>
            </w:pPr>
            <w:r>
              <w:rPr>
                <w:rFonts w:ascii="Times New Roman" w:hAnsi="Times New Roman" w:cs="Times New Roman"/>
                <w:color w:val="#000000"/>
                <w:sz w:val="24"/>
                <w:szCs w:val="24"/>
              </w:rPr>
              <w:t>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обучения: сущность, функции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Исследовательские и поисковые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Диалоговые и дискуссионные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компьютерного обучения и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процесс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как способ организации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Психическая структура</w:t>
            </w:r>
          </w:p>
          <w:p>
            <w:pPr>
              <w:jc w:val="left"/>
              <w:spacing w:after="0" w:line="240" w:lineRule="auto"/>
              <w:rPr>
                <w:sz w:val="24"/>
                <w:szCs w:val="24"/>
              </w:rPr>
            </w:pPr>
            <w:r>
              <w:rPr>
                <w:rFonts w:ascii="Times New Roman" w:hAnsi="Times New Roman" w:cs="Times New Roman"/>
                <w:color w:val="#000000"/>
                <w:sz w:val="24"/>
                <w:szCs w:val="24"/>
              </w:rPr>
              <w:t> личности и закономерности ее</w:t>
            </w:r>
          </w:p>
          <w:p>
            <w:pPr>
              <w:jc w:val="left"/>
              <w:spacing w:after="0" w:line="240" w:lineRule="auto"/>
              <w:rPr>
                <w:sz w:val="24"/>
                <w:szCs w:val="24"/>
              </w:rPr>
            </w:pPr>
            <w:r>
              <w:rPr>
                <w:rFonts w:ascii="Times New Roman" w:hAnsi="Times New Roman" w:cs="Times New Roman"/>
                <w:color w:val="#000000"/>
                <w:sz w:val="24"/>
                <w:szCs w:val="24"/>
              </w:rPr>
              <w:t> развития в контексте</w:t>
            </w:r>
          </w:p>
          <w:p>
            <w:pPr>
              <w:jc w:val="left"/>
              <w:spacing w:after="0" w:line="240" w:lineRule="auto"/>
              <w:rPr>
                <w:sz w:val="24"/>
                <w:szCs w:val="24"/>
              </w:rPr>
            </w:pPr>
            <w:r>
              <w:rPr>
                <w:rFonts w:ascii="Times New Roman" w:hAnsi="Times New Roman" w:cs="Times New Roman"/>
                <w:color w:val="#000000"/>
                <w:sz w:val="24"/>
                <w:szCs w:val="24"/>
              </w:rPr>
              <w:t>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дидактичсеких принципов  и их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w:t>
            </w:r>
          </w:p>
          <w:p>
            <w:pPr>
              <w:jc w:val="left"/>
              <w:spacing w:after="0" w:line="240" w:lineRule="auto"/>
              <w:rPr>
                <w:sz w:val="24"/>
                <w:szCs w:val="24"/>
              </w:rPr>
            </w:pPr>
            <w:r>
              <w:rPr>
                <w:rFonts w:ascii="Times New Roman" w:hAnsi="Times New Roman" w:cs="Times New Roman"/>
                <w:color w:val="#000000"/>
                <w:sz w:val="24"/>
                <w:szCs w:val="24"/>
              </w:rPr>
              <w:t> образования и его</w:t>
            </w:r>
          </w:p>
          <w:p>
            <w:pPr>
              <w:jc w:val="left"/>
              <w:spacing w:after="0" w:line="240" w:lineRule="auto"/>
              <w:rPr>
                <w:sz w:val="24"/>
                <w:szCs w:val="24"/>
              </w:rPr>
            </w:pPr>
            <w:r>
              <w:rPr>
                <w:rFonts w:ascii="Times New Roman" w:hAnsi="Times New Roman" w:cs="Times New Roman"/>
                <w:color w:val="#000000"/>
                <w:sz w:val="24"/>
                <w:szCs w:val="24"/>
              </w:rPr>
              <w:t> составляющие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основных форм и средств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как</w:t>
            </w:r>
          </w:p>
          <w:p>
            <w:pPr>
              <w:jc w:val="left"/>
              <w:spacing w:after="0" w:line="240" w:lineRule="auto"/>
              <w:rPr>
                <w:sz w:val="24"/>
                <w:szCs w:val="24"/>
              </w:rPr>
            </w:pPr>
            <w:r>
              <w:rPr>
                <w:rFonts w:ascii="Times New Roman" w:hAnsi="Times New Roman" w:cs="Times New Roman"/>
                <w:color w:val="#000000"/>
                <w:sz w:val="24"/>
                <w:szCs w:val="24"/>
              </w:rPr>
              <w:t> основная форма</w:t>
            </w:r>
          </w:p>
          <w:p>
            <w:pPr>
              <w:jc w:val="left"/>
              <w:spacing w:after="0" w:line="240" w:lineRule="auto"/>
              <w:rPr>
                <w:sz w:val="24"/>
                <w:szCs w:val="24"/>
              </w:rPr>
            </w:pPr>
            <w:r>
              <w:rPr>
                <w:rFonts w:ascii="Times New Roman" w:hAnsi="Times New Roman" w:cs="Times New Roman"/>
                <w:color w:val="#000000"/>
                <w:sz w:val="24"/>
                <w:szCs w:val="24"/>
              </w:rPr>
              <w:t> организации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педагогической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Модульное и концентрированное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дифференцированного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955.14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развитие</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приёмов учебной</w:t>
            </w:r>
          </w:p>
          <w:p>
            <w:pPr>
              <w:jc w:val="center"/>
              <w:spacing w:after="0" w:line="240" w:lineRule="auto"/>
              <w:rPr>
                <w:sz w:val="24"/>
                <w:szCs w:val="24"/>
              </w:rPr>
            </w:pPr>
            <w:r>
              <w:rPr>
                <w:rFonts w:ascii="Times New Roman" w:hAnsi="Times New Roman" w:cs="Times New Roman"/>
                <w:b/>
                <w:color w:val="#000000"/>
                <w:sz w:val="24"/>
                <w:szCs w:val="24"/>
              </w:rPr>
              <w:t> деятельности в процессе</w:t>
            </w:r>
          </w:p>
          <w:p>
            <w:pPr>
              <w:jc w:val="center"/>
              <w:spacing w:after="0" w:line="240" w:lineRule="auto"/>
              <w:rPr>
                <w:sz w:val="24"/>
                <w:szCs w:val="24"/>
              </w:rPr>
            </w:pPr>
            <w:r>
              <w:rPr>
                <w:rFonts w:ascii="Times New Roman" w:hAnsi="Times New Roman" w:cs="Times New Roman"/>
                <w:b/>
                <w:color w:val="#000000"/>
                <w:sz w:val="24"/>
                <w:szCs w:val="24"/>
              </w:rPr>
              <w:t> обучения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обучения: сущность, функции и классификация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Исследовательские и поисковые технологии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Диалоговые и дискуссионные технологии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компьютерного обучения и контроля</w:t>
            </w:r>
          </w:p>
        </w:tc>
      </w:tr>
      <w:tr>
        <w:trPr>
          <w:trHeight w:hRule="exact" w:val="285.18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основы обучения»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Использование</w:t>
            </w:r>
            <w:r>
              <w:rPr/>
              <w:t xml:space="preserve"> </w:t>
            </w:r>
            <w:r>
              <w:rPr>
                <w:rFonts w:ascii="Times New Roman" w:hAnsi="Times New Roman" w:cs="Times New Roman"/>
                <w:color w:val="#000000"/>
                <w:sz w:val="24"/>
                <w:szCs w:val="24"/>
              </w:rPr>
              <w:t>информационно-коммуникационных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Чиркова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http://www.iprbookshop.ru/75273.html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Жакупова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978-601-04-0190-7.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http://www.iprbookshop.ru/59844.html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прошлого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будущему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http://www.iprbookshop.ru/84398.html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4.7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2023-2024_ФГОС3++2023_Бак-ЗФО-ПО(ИО)(23)_plx_Современные основы обучения</dc:title>
  <dc:creator>FastReport.NET</dc:creator>
</cp:coreProperties>
</file>